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43AB7" w14:textId="3876731E" w:rsidR="001A774F" w:rsidRDefault="001A774F" w:rsidP="001A774F">
      <w:pPr>
        <w:pBdr>
          <w:bottom w:val="single" w:sz="6" w:space="1" w:color="auto"/>
        </w:pBdr>
        <w:spacing w:after="0" w:line="240" w:lineRule="auto"/>
        <w:jc w:val="center"/>
        <w:rPr>
          <w:rFonts w:ascii="Times New Roman" w:eastAsia="Times New Roman" w:hAnsi="Times New Roman" w:cs="Times New Roman"/>
          <w:color w:val="111111"/>
          <w:sz w:val="24"/>
          <w:szCs w:val="24"/>
        </w:rPr>
      </w:pPr>
      <w:r w:rsidRPr="001A774F">
        <w:rPr>
          <w:rFonts w:ascii="Times New Roman" w:eastAsia="Times New Roman" w:hAnsi="Times New Roman" w:cs="Times New Roman"/>
          <w:vanish/>
          <w:sz w:val="24"/>
          <w:szCs w:val="24"/>
        </w:rPr>
        <w:t>Top of Form</w:t>
      </w:r>
    </w:p>
    <w:p w14:paraId="332B139A" w14:textId="169BBC49" w:rsidR="001A774F" w:rsidRDefault="001A774F" w:rsidP="001A774F">
      <w:pPr>
        <w:pBdr>
          <w:bottom w:val="single" w:sz="6" w:space="1" w:color="auto"/>
        </w:pBdr>
        <w:spacing w:after="0" w:line="240" w:lineRule="auto"/>
        <w:jc w:val="center"/>
        <w:rPr>
          <w:rFonts w:ascii="Times New Roman" w:eastAsia="Times New Roman" w:hAnsi="Times New Roman" w:cs="Times New Roman"/>
          <w:color w:val="111111"/>
          <w:sz w:val="24"/>
          <w:szCs w:val="24"/>
        </w:rPr>
      </w:pPr>
    </w:p>
    <w:p w14:paraId="6F92FEFA" w14:textId="754CC171" w:rsidR="001A774F" w:rsidRDefault="001A774F" w:rsidP="001A774F">
      <w:pPr>
        <w:pBdr>
          <w:bottom w:val="single" w:sz="6" w:space="1" w:color="auto"/>
        </w:pBdr>
        <w:spacing w:after="0" w:line="240" w:lineRule="auto"/>
        <w:jc w:val="center"/>
        <w:rPr>
          <w:rFonts w:ascii="Times New Roman" w:eastAsia="Times New Roman" w:hAnsi="Times New Roman" w:cs="Times New Roman"/>
          <w:color w:val="111111"/>
          <w:sz w:val="24"/>
          <w:szCs w:val="24"/>
        </w:rPr>
      </w:pPr>
    </w:p>
    <w:p w14:paraId="1CA5F960" w14:textId="14146BFF" w:rsidR="001A774F" w:rsidRDefault="001A774F" w:rsidP="001A774F">
      <w:pPr>
        <w:pBdr>
          <w:bottom w:val="single" w:sz="6" w:space="1" w:color="auto"/>
        </w:pBdr>
        <w:spacing w:after="0" w:line="24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Irving Zeno </w:t>
      </w:r>
    </w:p>
    <w:p w14:paraId="6E7FCE13" w14:textId="76E94061" w:rsidR="001A774F" w:rsidRDefault="001A774F" w:rsidP="001A774F">
      <w:pPr>
        <w:pBdr>
          <w:bottom w:val="single" w:sz="6" w:space="1" w:color="auto"/>
        </w:pBdr>
        <w:spacing w:after="0" w:line="24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Pediatric vs Adult Pathology “Anemia</w:t>
      </w:r>
    </w:p>
    <w:p w14:paraId="4771CC55" w14:textId="73B8B7A9" w:rsidR="001A774F" w:rsidRDefault="001A774F" w:rsidP="001A774F">
      <w:pPr>
        <w:pBdr>
          <w:bottom w:val="single" w:sz="6" w:space="1" w:color="auto"/>
        </w:pBdr>
        <w:spacing w:after="0" w:line="240" w:lineRule="auto"/>
        <w:jc w:val="center"/>
        <w:rPr>
          <w:rFonts w:ascii="Times New Roman" w:eastAsia="Times New Roman" w:hAnsi="Times New Roman" w:cs="Times New Roman"/>
          <w:color w:val="111111"/>
          <w:sz w:val="24"/>
          <w:szCs w:val="24"/>
        </w:rPr>
      </w:pPr>
    </w:p>
    <w:p w14:paraId="106AC5FC" w14:textId="77777777" w:rsidR="001A774F" w:rsidRPr="001A774F" w:rsidRDefault="001A774F" w:rsidP="001A774F">
      <w:pPr>
        <w:pBdr>
          <w:bottom w:val="single" w:sz="6" w:space="1" w:color="auto"/>
        </w:pBdr>
        <w:spacing w:after="0" w:line="240" w:lineRule="auto"/>
        <w:jc w:val="center"/>
        <w:rPr>
          <w:rFonts w:ascii="Times New Roman" w:eastAsia="Times New Roman" w:hAnsi="Times New Roman" w:cs="Times New Roman"/>
          <w:vanish/>
          <w:sz w:val="24"/>
          <w:szCs w:val="24"/>
        </w:rPr>
      </w:pPr>
    </w:p>
    <w:p w14:paraId="67DD310E" w14:textId="77777777" w:rsidR="001A774F" w:rsidRPr="001A774F" w:rsidRDefault="001A774F" w:rsidP="001A774F">
      <w:pPr>
        <w:spacing w:after="0" w:line="240" w:lineRule="auto"/>
        <w:jc w:val="center"/>
        <w:rPr>
          <w:rFonts w:ascii="Times New Roman" w:eastAsia="Times New Roman" w:hAnsi="Times New Roman" w:cs="Times New Roman"/>
          <w:color w:val="111111"/>
          <w:sz w:val="24"/>
          <w:szCs w:val="24"/>
        </w:rPr>
      </w:pPr>
      <w:r w:rsidRPr="001A774F">
        <w:rPr>
          <w:rFonts w:ascii="Times New Roman" w:eastAsia="Times New Roman" w:hAnsi="Times New Roman" w:cs="Times New Roman"/>
          <w:b/>
          <w:bCs/>
          <w:color w:val="111111"/>
          <w:sz w:val="24"/>
          <w:szCs w:val="24"/>
          <w:bdr w:val="none" w:sz="0" w:space="0" w:color="auto" w:frame="1"/>
        </w:rPr>
        <w:t>Anemia</w:t>
      </w:r>
    </w:p>
    <w:p w14:paraId="2BAFD73B" w14:textId="77777777" w:rsidR="001A774F" w:rsidRPr="001A774F" w:rsidRDefault="001A774F" w:rsidP="001A774F">
      <w:pPr>
        <w:spacing w:after="0" w:line="240" w:lineRule="auto"/>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rPr>
        <w:t>Anemia is a condition that leads to lack of enough supply of oxygen to tissues, which is associated with the lack of sufficient amounts of mature and healthy red blood cells in the blood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p.253). Anemia is the cause of a variety of factors that interact in an individual’s body; these factors could be nutritional deficiencies, infectious illnesses, and genetic hemoglobin disorders (</w:t>
      </w:r>
      <w:proofErr w:type="spellStart"/>
      <w:r w:rsidRPr="001A774F">
        <w:rPr>
          <w:rFonts w:ascii="Times New Roman" w:eastAsia="Times New Roman" w:hAnsi="Times New Roman" w:cs="Times New Roman"/>
          <w:color w:val="111111"/>
          <w:sz w:val="24"/>
          <w:szCs w:val="24"/>
          <w:bdr w:val="none" w:sz="0" w:space="0" w:color="auto" w:frame="1"/>
        </w:rPr>
        <w:t>Mesfin</w:t>
      </w:r>
      <w:proofErr w:type="spellEnd"/>
      <w:r w:rsidRPr="001A774F">
        <w:rPr>
          <w:rFonts w:ascii="Times New Roman" w:eastAsia="Times New Roman" w:hAnsi="Times New Roman" w:cs="Times New Roman"/>
          <w:color w:val="111111"/>
          <w:sz w:val="24"/>
          <w:szCs w:val="24"/>
          <w:bdr w:val="none" w:sz="0" w:space="0" w:color="auto" w:frame="1"/>
        </w:rPr>
        <w:t xml:space="preserve">, Berhane, &amp; </w:t>
      </w:r>
      <w:proofErr w:type="spellStart"/>
      <w:r w:rsidRPr="001A774F">
        <w:rPr>
          <w:rFonts w:ascii="Times New Roman" w:eastAsia="Times New Roman" w:hAnsi="Times New Roman" w:cs="Times New Roman"/>
          <w:color w:val="111111"/>
          <w:sz w:val="24"/>
          <w:szCs w:val="24"/>
          <w:bdr w:val="none" w:sz="0" w:space="0" w:color="auto" w:frame="1"/>
        </w:rPr>
        <w:t>Worku</w:t>
      </w:r>
      <w:proofErr w:type="spellEnd"/>
      <w:r w:rsidRPr="001A774F">
        <w:rPr>
          <w:rFonts w:ascii="Times New Roman" w:eastAsia="Times New Roman" w:hAnsi="Times New Roman" w:cs="Times New Roman"/>
          <w:color w:val="111111"/>
          <w:sz w:val="24"/>
          <w:szCs w:val="24"/>
          <w:bdr w:val="none" w:sz="0" w:space="0" w:color="auto" w:frame="1"/>
        </w:rPr>
        <w:t>, 2015, p.1).  In children, one of the causes of anemia is the lack of iron because of weaning from formula and cow’s milk, which often contain low levels of iron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p.271). Other causes of anemia in children include worm infestation, malaria, lead poisoning, schistosomiasis, inherited diseases such as sickle cell anemia and thalassemia and deficiencies in essential nutrients such as vitamin A, vitamin B12 and folic acid (SR &amp; </w:t>
      </w:r>
      <w:proofErr w:type="spellStart"/>
      <w:r w:rsidRPr="001A774F">
        <w:rPr>
          <w:rFonts w:ascii="Times New Roman" w:eastAsia="Times New Roman" w:hAnsi="Times New Roman" w:cs="Times New Roman"/>
          <w:color w:val="111111"/>
          <w:sz w:val="24"/>
          <w:szCs w:val="24"/>
          <w:bdr w:val="none" w:sz="0" w:space="0" w:color="auto" w:frame="1"/>
        </w:rPr>
        <w:t>Charan</w:t>
      </w:r>
      <w:proofErr w:type="spellEnd"/>
      <w:r w:rsidRPr="001A774F">
        <w:rPr>
          <w:rFonts w:ascii="Times New Roman" w:eastAsia="Times New Roman" w:hAnsi="Times New Roman" w:cs="Times New Roman"/>
          <w:color w:val="111111"/>
          <w:sz w:val="24"/>
          <w:szCs w:val="24"/>
          <w:bdr w:val="none" w:sz="0" w:space="0" w:color="auto" w:frame="1"/>
        </w:rPr>
        <w:t>, 2017, p.276). Children with anemia often have symptoms such as pale yellow skin, cheeks and lips that are pale, irritability, weakness, jaundice, shortness of breath, rapid heart rate, inflamed hands and feet, headaches, dizziness and fainting, and restless leg syndrome. Anemia in children impairs their physical growth, leads to low productivity, impairs cognitive development, and affects their general and school performance (</w:t>
      </w:r>
      <w:proofErr w:type="spellStart"/>
      <w:r w:rsidRPr="001A774F">
        <w:rPr>
          <w:rFonts w:ascii="Times New Roman" w:eastAsia="Times New Roman" w:hAnsi="Times New Roman" w:cs="Times New Roman"/>
          <w:color w:val="111111"/>
          <w:sz w:val="24"/>
          <w:szCs w:val="24"/>
          <w:bdr w:val="none" w:sz="0" w:space="0" w:color="auto" w:frame="1"/>
        </w:rPr>
        <w:t>Mesfin</w:t>
      </w:r>
      <w:proofErr w:type="spellEnd"/>
      <w:r w:rsidRPr="001A774F">
        <w:rPr>
          <w:rFonts w:ascii="Times New Roman" w:eastAsia="Times New Roman" w:hAnsi="Times New Roman" w:cs="Times New Roman"/>
          <w:color w:val="111111"/>
          <w:sz w:val="24"/>
          <w:szCs w:val="24"/>
          <w:bdr w:val="none" w:sz="0" w:space="0" w:color="auto" w:frame="1"/>
        </w:rPr>
        <w:t xml:space="preserve"> et al., 2015, p.2). Nursing considerations when treating children with anemia include knowledge of the child’s diet, the underlying conditions of the child such as hereditary diseases, and if the child is using certain medications. The lack of iron is the most common cause of anemia in children because of their increased need for red blood cells during their growth spurt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p.271). Adolescents, especially girls, can also have anemia due to poor diets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p.271).</w:t>
      </w:r>
    </w:p>
    <w:p w14:paraId="13E0B08D" w14:textId="77777777" w:rsidR="001A774F" w:rsidRPr="001A774F" w:rsidRDefault="001A774F" w:rsidP="001A774F">
      <w:pPr>
        <w:spacing w:after="0" w:line="240" w:lineRule="auto"/>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rPr>
        <w:t>In adults, the causes of anemia include menstrual bleeding and higher blood demands during pregnancy, among women, nutritional deficiencies such as deficiency of iron, vitamin B12, and folate, and underlying illnesses such as cancer of the stomach or bowel, peptic ulcer disease, tuberculosis, and HIV (</w:t>
      </w:r>
      <w:r w:rsidRPr="001A774F">
        <w:rPr>
          <w:rFonts w:ascii="Times New Roman" w:eastAsia="Times New Roman" w:hAnsi="Times New Roman" w:cs="Times New Roman"/>
          <w:color w:val="111111"/>
          <w:sz w:val="24"/>
          <w:szCs w:val="24"/>
          <w:bdr w:val="none" w:sz="0" w:space="0" w:color="auto" w:frame="1"/>
          <w:shd w:val="clear" w:color="auto" w:fill="FFFFFF"/>
        </w:rPr>
        <w:t>Harding, Aguayo, Namirembe, &amp; Webb, 2018, p.2)</w:t>
      </w:r>
      <w:r w:rsidRPr="001A774F">
        <w:rPr>
          <w:rFonts w:ascii="Times New Roman" w:eastAsia="Times New Roman" w:hAnsi="Times New Roman" w:cs="Times New Roman"/>
          <w:color w:val="111111"/>
          <w:sz w:val="24"/>
          <w:szCs w:val="24"/>
          <w:bdr w:val="none" w:sz="0" w:space="0" w:color="auto" w:frame="1"/>
        </w:rPr>
        <w:t>. Adults with anemia will exhibit tachypnea and tachycardia, pale complexion, jaundice, increased fatigue, weakness, shortness of breath when engaging in activities, intolerance to exercise, pain in the chest, dizziness, headache, and pica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p.261). Nursing considerations when treating adults with anemia include reviewing the medication list of a patient since some drugs can cause anemia, considering the patient’s diet and nutritional consumption, and the appearance of stool since some patients can have stomach and intestinal conditions that cause the production of black tarry stools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p.260-261).</w:t>
      </w:r>
    </w:p>
    <w:p w14:paraId="2DE1DAF4" w14:textId="77777777" w:rsidR="001A774F" w:rsidRPr="001A774F" w:rsidRDefault="001A774F" w:rsidP="001A774F">
      <w:pPr>
        <w:spacing w:after="0" w:line="240" w:lineRule="auto"/>
        <w:rPr>
          <w:rFonts w:ascii="Times New Roman" w:eastAsia="Times New Roman" w:hAnsi="Times New Roman" w:cs="Times New Roman"/>
          <w:color w:val="111111"/>
          <w:sz w:val="24"/>
          <w:szCs w:val="24"/>
        </w:rPr>
      </w:pPr>
      <w:r w:rsidRPr="001A774F">
        <w:rPr>
          <w:rFonts w:ascii="Times New Roman" w:eastAsia="Times New Roman" w:hAnsi="Times New Roman" w:cs="Times New Roman"/>
          <w:b/>
          <w:bCs/>
          <w:color w:val="111111"/>
          <w:sz w:val="24"/>
          <w:szCs w:val="24"/>
          <w:bdr w:val="none" w:sz="0" w:space="0" w:color="auto" w:frame="1"/>
        </w:rPr>
        <w:t>Disease Process in Adults and Children</w:t>
      </w:r>
    </w:p>
    <w:p w14:paraId="4C99924A" w14:textId="77777777" w:rsidR="001A774F" w:rsidRPr="001A774F" w:rsidRDefault="001A774F" w:rsidP="001A774F">
      <w:pPr>
        <w:spacing w:after="0" w:line="240" w:lineRule="auto"/>
        <w:rPr>
          <w:rFonts w:ascii="Times New Roman" w:eastAsia="Times New Roman" w:hAnsi="Times New Roman" w:cs="Times New Roman"/>
          <w:color w:val="111111"/>
          <w:sz w:val="24"/>
          <w:szCs w:val="24"/>
        </w:rPr>
      </w:pPr>
      <w:r w:rsidRPr="001A774F">
        <w:rPr>
          <w:rFonts w:ascii="Times New Roman" w:eastAsia="Times New Roman" w:hAnsi="Times New Roman" w:cs="Times New Roman"/>
          <w:b/>
          <w:bCs/>
          <w:color w:val="111111"/>
          <w:sz w:val="24"/>
          <w:szCs w:val="24"/>
          <w:bdr w:val="none" w:sz="0" w:space="0" w:color="auto" w:frame="1"/>
        </w:rPr>
        <w:t>            </w:t>
      </w:r>
      <w:r w:rsidRPr="001A774F">
        <w:rPr>
          <w:rFonts w:ascii="Times New Roman" w:eastAsia="Times New Roman" w:hAnsi="Times New Roman" w:cs="Times New Roman"/>
          <w:color w:val="111111"/>
          <w:sz w:val="24"/>
          <w:szCs w:val="24"/>
          <w:bdr w:val="none" w:sz="0" w:space="0" w:color="auto" w:frame="1"/>
        </w:rPr>
        <w:t>In both adults and children, anemia causes fatigue, weakness, dizziness, drowsiness, pallor complexion, and headaches (Harding et al., 2018, p.2). Anemia of acute blood loss can cause death in elderly individuals and children due to less resilience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p.262). In men and women who are past the menopause period, undetected blood loss from the gastrointestinal tract due to colon cancer can cause iron deficiency anemia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p.271).  Hemolytic anemias in children can cause “severe infections, growth retardation, osteomyelitis, and repeated strokes”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p.267). The repeated strokes </w:t>
      </w:r>
      <w:r w:rsidRPr="001A774F">
        <w:rPr>
          <w:rFonts w:ascii="Times New Roman" w:eastAsia="Times New Roman" w:hAnsi="Times New Roman" w:cs="Times New Roman"/>
          <w:color w:val="111111"/>
          <w:sz w:val="24"/>
          <w:szCs w:val="24"/>
          <w:bdr w:val="none" w:sz="0" w:space="0" w:color="auto" w:frame="1"/>
        </w:rPr>
        <w:lastRenderedPageBreak/>
        <w:t>occur because of cerebral infarction and can cause paralysis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p.267). Thalassemia in children can cause a chipmunk appearance, which occurs due to hyperplasia of the marrow in check bones (</w:t>
      </w: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xml:space="preserve"> &amp; Frizzell, 2016, p.268).</w:t>
      </w:r>
    </w:p>
    <w:p w14:paraId="3A8DFDF2" w14:textId="77777777" w:rsidR="001A774F" w:rsidRPr="001A774F" w:rsidRDefault="001A774F" w:rsidP="001A774F">
      <w:pPr>
        <w:spacing w:after="0" w:line="240" w:lineRule="auto"/>
        <w:ind w:firstLine="720"/>
        <w:jc w:val="center"/>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rPr>
        <w:t> </w:t>
      </w:r>
    </w:p>
    <w:p w14:paraId="7453F751" w14:textId="77777777" w:rsidR="001A774F" w:rsidRPr="001A774F" w:rsidRDefault="001A774F" w:rsidP="001A774F">
      <w:pPr>
        <w:spacing w:after="0" w:line="240" w:lineRule="auto"/>
        <w:ind w:firstLine="720"/>
        <w:jc w:val="center"/>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rPr>
        <w:t> </w:t>
      </w:r>
    </w:p>
    <w:p w14:paraId="5443C66D" w14:textId="77777777" w:rsidR="001A774F" w:rsidRPr="001A774F" w:rsidRDefault="001A774F" w:rsidP="001A774F">
      <w:pPr>
        <w:spacing w:after="0" w:line="240" w:lineRule="auto"/>
        <w:ind w:firstLine="720"/>
        <w:jc w:val="center"/>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rPr>
        <w:t> </w:t>
      </w:r>
    </w:p>
    <w:p w14:paraId="472021EF" w14:textId="77777777" w:rsidR="001A774F" w:rsidRPr="001A774F" w:rsidRDefault="001A774F" w:rsidP="001A774F">
      <w:pPr>
        <w:spacing w:after="0" w:line="240" w:lineRule="auto"/>
        <w:ind w:firstLine="720"/>
        <w:jc w:val="center"/>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rPr>
        <w:t>References</w:t>
      </w:r>
    </w:p>
    <w:p w14:paraId="36C29B9A" w14:textId="77777777" w:rsidR="001A774F" w:rsidRPr="001A774F" w:rsidRDefault="001A774F" w:rsidP="001A774F">
      <w:pPr>
        <w:spacing w:after="0" w:line="240" w:lineRule="auto"/>
        <w:ind w:left="720" w:hanging="720"/>
        <w:jc w:val="both"/>
        <w:rPr>
          <w:rFonts w:ascii="Times New Roman" w:eastAsia="Times New Roman" w:hAnsi="Times New Roman" w:cs="Times New Roman"/>
          <w:color w:val="111111"/>
          <w:sz w:val="24"/>
          <w:szCs w:val="24"/>
        </w:rPr>
      </w:pPr>
      <w:proofErr w:type="spellStart"/>
      <w:r w:rsidRPr="001A774F">
        <w:rPr>
          <w:rFonts w:ascii="Times New Roman" w:eastAsia="Times New Roman" w:hAnsi="Times New Roman" w:cs="Times New Roman"/>
          <w:color w:val="111111"/>
          <w:sz w:val="24"/>
          <w:szCs w:val="24"/>
          <w:bdr w:val="none" w:sz="0" w:space="0" w:color="auto" w:frame="1"/>
        </w:rPr>
        <w:t>Capriotti</w:t>
      </w:r>
      <w:proofErr w:type="spellEnd"/>
      <w:r w:rsidRPr="001A774F">
        <w:rPr>
          <w:rFonts w:ascii="Times New Roman" w:eastAsia="Times New Roman" w:hAnsi="Times New Roman" w:cs="Times New Roman"/>
          <w:color w:val="111111"/>
          <w:sz w:val="24"/>
          <w:szCs w:val="24"/>
          <w:bdr w:val="none" w:sz="0" w:space="0" w:color="auto" w:frame="1"/>
        </w:rPr>
        <w:t>, T &amp; Frizzell, J.P. (2016). Pathophysiology: Introductory concepts and clinical                            </w:t>
      </w:r>
    </w:p>
    <w:p w14:paraId="62D82B40" w14:textId="77777777" w:rsidR="001A774F" w:rsidRPr="001A774F" w:rsidRDefault="001A774F" w:rsidP="001A774F">
      <w:pPr>
        <w:spacing w:after="0" w:line="468" w:lineRule="atLeast"/>
        <w:ind w:left="720" w:hanging="720"/>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rPr>
        <w:t>     perspectives. Philadelphia, Pennsylvania: F.A. Davis.</w:t>
      </w:r>
    </w:p>
    <w:p w14:paraId="1A001AF5" w14:textId="77777777" w:rsidR="001A774F" w:rsidRPr="001A774F" w:rsidRDefault="001A774F" w:rsidP="001A774F">
      <w:pPr>
        <w:spacing w:after="0" w:line="468" w:lineRule="atLeast"/>
        <w:ind w:left="720" w:hanging="720"/>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shd w:val="clear" w:color="auto" w:fill="FFFFFF"/>
        </w:rPr>
        <w:t>Harding, K. L., Aguayo, V. M., Namirembe, G., &amp; Webb, P. (2018). Determinants of anemia among women and children in Nepal and Pakistan: An analysis of recent national survey data. </w:t>
      </w:r>
      <w:r w:rsidRPr="001A774F">
        <w:rPr>
          <w:rFonts w:ascii="Times New Roman" w:eastAsia="Times New Roman" w:hAnsi="Times New Roman" w:cs="Times New Roman"/>
          <w:i/>
          <w:iCs/>
          <w:color w:val="111111"/>
          <w:sz w:val="24"/>
          <w:szCs w:val="24"/>
          <w:bdr w:val="none" w:sz="0" w:space="0" w:color="auto" w:frame="1"/>
          <w:shd w:val="clear" w:color="auto" w:fill="FFFFFF"/>
        </w:rPr>
        <w:t>Maternal &amp; Child Nutrition</w:t>
      </w:r>
      <w:r w:rsidRPr="001A774F">
        <w:rPr>
          <w:rFonts w:ascii="Times New Roman" w:eastAsia="Times New Roman" w:hAnsi="Times New Roman" w:cs="Times New Roman"/>
          <w:color w:val="111111"/>
          <w:sz w:val="24"/>
          <w:szCs w:val="24"/>
          <w:bdr w:val="none" w:sz="0" w:space="0" w:color="auto" w:frame="1"/>
          <w:shd w:val="clear" w:color="auto" w:fill="FFFFFF"/>
        </w:rPr>
        <w:t>, </w:t>
      </w:r>
      <w:r w:rsidRPr="001A774F">
        <w:rPr>
          <w:rFonts w:ascii="Times New Roman" w:eastAsia="Times New Roman" w:hAnsi="Times New Roman" w:cs="Times New Roman"/>
          <w:i/>
          <w:iCs/>
          <w:color w:val="111111"/>
          <w:sz w:val="24"/>
          <w:szCs w:val="24"/>
          <w:bdr w:val="none" w:sz="0" w:space="0" w:color="auto" w:frame="1"/>
          <w:shd w:val="clear" w:color="auto" w:fill="FFFFFF"/>
        </w:rPr>
        <w:t>14</w:t>
      </w:r>
      <w:r w:rsidRPr="001A774F">
        <w:rPr>
          <w:rFonts w:ascii="Times New Roman" w:eastAsia="Times New Roman" w:hAnsi="Times New Roman" w:cs="Times New Roman"/>
          <w:color w:val="111111"/>
          <w:sz w:val="24"/>
          <w:szCs w:val="24"/>
          <w:bdr w:val="none" w:sz="0" w:space="0" w:color="auto" w:frame="1"/>
          <w:shd w:val="clear" w:color="auto" w:fill="FFFFFF"/>
        </w:rPr>
        <w:t>, e12478.</w:t>
      </w:r>
    </w:p>
    <w:p w14:paraId="1116E147" w14:textId="77777777" w:rsidR="001A774F" w:rsidRPr="001A774F" w:rsidRDefault="001A774F" w:rsidP="001A774F">
      <w:pPr>
        <w:spacing w:after="0" w:line="468" w:lineRule="atLeast"/>
        <w:ind w:left="720" w:hanging="720"/>
        <w:rPr>
          <w:rFonts w:ascii="Times New Roman" w:eastAsia="Times New Roman" w:hAnsi="Times New Roman" w:cs="Times New Roman"/>
          <w:color w:val="111111"/>
          <w:sz w:val="24"/>
          <w:szCs w:val="24"/>
        </w:rPr>
      </w:pPr>
      <w:proofErr w:type="spellStart"/>
      <w:r w:rsidRPr="001A774F">
        <w:rPr>
          <w:rFonts w:ascii="Times New Roman" w:eastAsia="Times New Roman" w:hAnsi="Times New Roman" w:cs="Times New Roman"/>
          <w:color w:val="111111"/>
          <w:sz w:val="24"/>
          <w:szCs w:val="24"/>
          <w:bdr w:val="none" w:sz="0" w:space="0" w:color="auto" w:frame="1"/>
        </w:rPr>
        <w:t>Mesfin</w:t>
      </w:r>
      <w:proofErr w:type="spellEnd"/>
      <w:r w:rsidRPr="001A774F">
        <w:rPr>
          <w:rFonts w:ascii="Times New Roman" w:eastAsia="Times New Roman" w:hAnsi="Times New Roman" w:cs="Times New Roman"/>
          <w:color w:val="111111"/>
          <w:sz w:val="24"/>
          <w:szCs w:val="24"/>
          <w:bdr w:val="none" w:sz="0" w:space="0" w:color="auto" w:frame="1"/>
        </w:rPr>
        <w:t xml:space="preserve">, F., Berhane, Y., &amp; </w:t>
      </w:r>
      <w:proofErr w:type="spellStart"/>
      <w:r w:rsidRPr="001A774F">
        <w:rPr>
          <w:rFonts w:ascii="Times New Roman" w:eastAsia="Times New Roman" w:hAnsi="Times New Roman" w:cs="Times New Roman"/>
          <w:color w:val="111111"/>
          <w:sz w:val="24"/>
          <w:szCs w:val="24"/>
          <w:bdr w:val="none" w:sz="0" w:space="0" w:color="auto" w:frame="1"/>
        </w:rPr>
        <w:t>Worku</w:t>
      </w:r>
      <w:proofErr w:type="spellEnd"/>
      <w:r w:rsidRPr="001A774F">
        <w:rPr>
          <w:rFonts w:ascii="Times New Roman" w:eastAsia="Times New Roman" w:hAnsi="Times New Roman" w:cs="Times New Roman"/>
          <w:color w:val="111111"/>
          <w:sz w:val="24"/>
          <w:szCs w:val="24"/>
          <w:bdr w:val="none" w:sz="0" w:space="0" w:color="auto" w:frame="1"/>
        </w:rPr>
        <w:t>, A. (2015). Anemia among Primary School Children in Eastern Ethiopia. </w:t>
      </w:r>
      <w:proofErr w:type="spellStart"/>
      <w:r w:rsidRPr="001A774F">
        <w:rPr>
          <w:rFonts w:ascii="Times New Roman" w:eastAsia="Times New Roman" w:hAnsi="Times New Roman" w:cs="Times New Roman"/>
          <w:i/>
          <w:iCs/>
          <w:color w:val="111111"/>
          <w:sz w:val="24"/>
          <w:szCs w:val="24"/>
          <w:bdr w:val="none" w:sz="0" w:space="0" w:color="auto" w:frame="1"/>
        </w:rPr>
        <w:t>PLoS</w:t>
      </w:r>
      <w:proofErr w:type="spellEnd"/>
      <w:r w:rsidRPr="001A774F">
        <w:rPr>
          <w:rFonts w:ascii="Times New Roman" w:eastAsia="Times New Roman" w:hAnsi="Times New Roman" w:cs="Times New Roman"/>
          <w:i/>
          <w:iCs/>
          <w:color w:val="111111"/>
          <w:sz w:val="24"/>
          <w:szCs w:val="24"/>
          <w:bdr w:val="none" w:sz="0" w:space="0" w:color="auto" w:frame="1"/>
        </w:rPr>
        <w:t xml:space="preserve"> ONE</w:t>
      </w:r>
      <w:r w:rsidRPr="001A774F">
        <w:rPr>
          <w:rFonts w:ascii="Times New Roman" w:eastAsia="Times New Roman" w:hAnsi="Times New Roman" w:cs="Times New Roman"/>
          <w:color w:val="111111"/>
          <w:sz w:val="24"/>
          <w:szCs w:val="24"/>
          <w:bdr w:val="none" w:sz="0" w:space="0" w:color="auto" w:frame="1"/>
        </w:rPr>
        <w:t>, </w:t>
      </w:r>
      <w:r w:rsidRPr="001A774F">
        <w:rPr>
          <w:rFonts w:ascii="Times New Roman" w:eastAsia="Times New Roman" w:hAnsi="Times New Roman" w:cs="Times New Roman"/>
          <w:i/>
          <w:iCs/>
          <w:color w:val="111111"/>
          <w:sz w:val="24"/>
          <w:szCs w:val="24"/>
          <w:bdr w:val="none" w:sz="0" w:space="0" w:color="auto" w:frame="1"/>
        </w:rPr>
        <w:t>10</w:t>
      </w:r>
      <w:r w:rsidRPr="001A774F">
        <w:rPr>
          <w:rFonts w:ascii="Times New Roman" w:eastAsia="Times New Roman" w:hAnsi="Times New Roman" w:cs="Times New Roman"/>
          <w:color w:val="111111"/>
          <w:sz w:val="24"/>
          <w:szCs w:val="24"/>
          <w:bdr w:val="none" w:sz="0" w:space="0" w:color="auto" w:frame="1"/>
        </w:rPr>
        <w:t>(4), 1–10.</w:t>
      </w:r>
    </w:p>
    <w:p w14:paraId="35CD2414" w14:textId="77777777" w:rsidR="001A774F" w:rsidRPr="001A774F" w:rsidRDefault="001A774F" w:rsidP="001A774F">
      <w:pPr>
        <w:spacing w:after="0" w:line="240" w:lineRule="auto"/>
        <w:ind w:left="720" w:hanging="720"/>
        <w:rPr>
          <w:rFonts w:ascii="Times New Roman" w:eastAsia="Times New Roman" w:hAnsi="Times New Roman" w:cs="Times New Roman"/>
          <w:color w:val="111111"/>
          <w:sz w:val="24"/>
          <w:szCs w:val="24"/>
        </w:rPr>
      </w:pPr>
      <w:r w:rsidRPr="001A774F">
        <w:rPr>
          <w:rFonts w:ascii="Times New Roman" w:eastAsia="Times New Roman" w:hAnsi="Times New Roman" w:cs="Times New Roman"/>
          <w:color w:val="111111"/>
          <w:sz w:val="24"/>
          <w:szCs w:val="24"/>
          <w:bdr w:val="none" w:sz="0" w:space="0" w:color="auto" w:frame="1"/>
        </w:rPr>
        <w:t xml:space="preserve">SR., U., &amp; </w:t>
      </w:r>
      <w:proofErr w:type="spellStart"/>
      <w:r w:rsidRPr="001A774F">
        <w:rPr>
          <w:rFonts w:ascii="Times New Roman" w:eastAsia="Times New Roman" w:hAnsi="Times New Roman" w:cs="Times New Roman"/>
          <w:color w:val="111111"/>
          <w:sz w:val="24"/>
          <w:szCs w:val="24"/>
          <w:bdr w:val="none" w:sz="0" w:space="0" w:color="auto" w:frame="1"/>
        </w:rPr>
        <w:t>Charan</w:t>
      </w:r>
      <w:proofErr w:type="spellEnd"/>
      <w:r w:rsidRPr="001A774F">
        <w:rPr>
          <w:rFonts w:ascii="Times New Roman" w:eastAsia="Times New Roman" w:hAnsi="Times New Roman" w:cs="Times New Roman"/>
          <w:color w:val="111111"/>
          <w:sz w:val="24"/>
          <w:szCs w:val="24"/>
          <w:bdr w:val="none" w:sz="0" w:space="0" w:color="auto" w:frame="1"/>
        </w:rPr>
        <w:t>, C. L. (2017). Prevalence of anemia in government school children aged about 10-16 years. </w:t>
      </w:r>
      <w:r w:rsidRPr="001A774F">
        <w:rPr>
          <w:rFonts w:ascii="Times New Roman" w:eastAsia="Times New Roman" w:hAnsi="Times New Roman" w:cs="Times New Roman"/>
          <w:i/>
          <w:iCs/>
          <w:color w:val="111111"/>
          <w:sz w:val="24"/>
          <w:szCs w:val="24"/>
          <w:bdr w:val="none" w:sz="0" w:space="0" w:color="auto" w:frame="1"/>
        </w:rPr>
        <w:t>International Archives of Integrated Medicine</w:t>
      </w:r>
      <w:r w:rsidRPr="001A774F">
        <w:rPr>
          <w:rFonts w:ascii="Times New Roman" w:eastAsia="Times New Roman" w:hAnsi="Times New Roman" w:cs="Times New Roman"/>
          <w:color w:val="111111"/>
          <w:sz w:val="24"/>
          <w:szCs w:val="24"/>
          <w:bdr w:val="none" w:sz="0" w:space="0" w:color="auto" w:frame="1"/>
        </w:rPr>
        <w:t>, </w:t>
      </w:r>
      <w:r w:rsidRPr="001A774F">
        <w:rPr>
          <w:rFonts w:ascii="Times New Roman" w:eastAsia="Times New Roman" w:hAnsi="Times New Roman" w:cs="Times New Roman"/>
          <w:i/>
          <w:iCs/>
          <w:color w:val="111111"/>
          <w:sz w:val="24"/>
          <w:szCs w:val="24"/>
          <w:bdr w:val="none" w:sz="0" w:space="0" w:color="auto" w:frame="1"/>
        </w:rPr>
        <w:t>4</w:t>
      </w:r>
      <w:r w:rsidRPr="001A774F">
        <w:rPr>
          <w:rFonts w:ascii="Times New Roman" w:eastAsia="Times New Roman" w:hAnsi="Times New Roman" w:cs="Times New Roman"/>
          <w:color w:val="111111"/>
          <w:sz w:val="24"/>
          <w:szCs w:val="24"/>
          <w:bdr w:val="none" w:sz="0" w:space="0" w:color="auto" w:frame="1"/>
        </w:rPr>
        <w:t>(11), 275–280.</w:t>
      </w:r>
    </w:p>
    <w:p w14:paraId="19EDF174" w14:textId="77777777" w:rsidR="001A774F" w:rsidRPr="001A774F" w:rsidRDefault="001A774F" w:rsidP="001A774F">
      <w:pPr>
        <w:pBdr>
          <w:top w:val="single" w:sz="6" w:space="1" w:color="auto"/>
        </w:pBdr>
        <w:spacing w:after="0" w:line="240" w:lineRule="auto"/>
        <w:jc w:val="center"/>
        <w:rPr>
          <w:rFonts w:ascii="Arial" w:eastAsia="Times New Roman" w:hAnsi="Arial" w:cs="Arial"/>
          <w:vanish/>
          <w:sz w:val="16"/>
          <w:szCs w:val="16"/>
        </w:rPr>
      </w:pPr>
      <w:r w:rsidRPr="001A774F">
        <w:rPr>
          <w:rFonts w:ascii="Arial" w:eastAsia="Times New Roman" w:hAnsi="Arial" w:cs="Arial"/>
          <w:vanish/>
          <w:sz w:val="16"/>
          <w:szCs w:val="16"/>
        </w:rPr>
        <w:t>Bottom of Form</w:t>
      </w:r>
    </w:p>
    <w:p w14:paraId="5EDD2016" w14:textId="77777777" w:rsidR="001A774F" w:rsidRPr="001A774F" w:rsidRDefault="001A774F" w:rsidP="001A774F">
      <w:pPr>
        <w:pBdr>
          <w:top w:val="single" w:sz="6" w:space="1" w:color="auto"/>
        </w:pBdr>
        <w:spacing w:after="0" w:line="240" w:lineRule="auto"/>
        <w:jc w:val="center"/>
        <w:rPr>
          <w:rFonts w:ascii="Times New Roman" w:eastAsia="Times New Roman" w:hAnsi="Times New Roman" w:cs="Times New Roman"/>
          <w:vanish/>
          <w:sz w:val="16"/>
          <w:szCs w:val="16"/>
        </w:rPr>
      </w:pPr>
      <w:r w:rsidRPr="001A774F">
        <w:rPr>
          <w:rFonts w:ascii="Times New Roman" w:eastAsia="Times New Roman" w:hAnsi="Times New Roman" w:cs="Times New Roman"/>
          <w:vanish/>
          <w:sz w:val="16"/>
          <w:szCs w:val="16"/>
        </w:rPr>
        <w:t>Bottom of Form</w:t>
      </w:r>
    </w:p>
    <w:p w14:paraId="7C4B070F" w14:textId="77777777" w:rsidR="00FC455C" w:rsidRPr="001A774F" w:rsidRDefault="00FC455C">
      <w:pPr>
        <w:rPr>
          <w:rFonts w:ascii="Times New Roman" w:hAnsi="Times New Roman" w:cs="Times New Roman"/>
        </w:rPr>
      </w:pPr>
    </w:p>
    <w:sectPr w:rsidR="00FC455C" w:rsidRPr="001A774F" w:rsidSect="00107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4F"/>
    <w:rsid w:val="00107E0C"/>
    <w:rsid w:val="001A774F"/>
    <w:rsid w:val="005A45A2"/>
    <w:rsid w:val="00FC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514E"/>
  <w15:chartTrackingRefBased/>
  <w15:docId w15:val="{7D2642FA-0600-454B-874E-4AEE31579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profilecardavatarthumb">
    <w:name w:val="profilecardavatarthumb"/>
    <w:basedOn w:val="DefaultParagraphFont"/>
    <w:rsid w:val="001A774F"/>
  </w:style>
  <w:style w:type="character" w:styleId="Hyperlink">
    <w:name w:val="Hyperlink"/>
    <w:basedOn w:val="DefaultParagraphFont"/>
    <w:uiPriority w:val="99"/>
    <w:semiHidden/>
    <w:unhideWhenUsed/>
    <w:rsid w:val="001A774F"/>
    <w:rPr>
      <w:color w:val="0000FF"/>
      <w:u w:val="single"/>
    </w:rPr>
  </w:style>
  <w:style w:type="paragraph" w:styleId="z-TopofForm">
    <w:name w:val="HTML Top of Form"/>
    <w:basedOn w:val="Normal"/>
    <w:next w:val="Normal"/>
    <w:link w:val="z-TopofFormChar"/>
    <w:hidden/>
    <w:uiPriority w:val="99"/>
    <w:semiHidden/>
    <w:unhideWhenUsed/>
    <w:rsid w:val="001A774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A774F"/>
    <w:rPr>
      <w:rFonts w:ascii="Arial" w:eastAsia="Times New Roman" w:hAnsi="Arial" w:cs="Arial"/>
      <w:vanish/>
      <w:sz w:val="16"/>
      <w:szCs w:val="16"/>
    </w:rPr>
  </w:style>
  <w:style w:type="paragraph" w:styleId="NormalWeb">
    <w:name w:val="Normal (Web)"/>
    <w:basedOn w:val="Normal"/>
    <w:uiPriority w:val="99"/>
    <w:semiHidden/>
    <w:unhideWhenUsed/>
    <w:rsid w:val="001A774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1A774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A774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677445">
      <w:bodyDiv w:val="1"/>
      <w:marLeft w:val="0"/>
      <w:marRight w:val="0"/>
      <w:marTop w:val="0"/>
      <w:marBottom w:val="0"/>
      <w:divBdr>
        <w:top w:val="none" w:sz="0" w:space="0" w:color="auto"/>
        <w:left w:val="none" w:sz="0" w:space="0" w:color="auto"/>
        <w:bottom w:val="none" w:sz="0" w:space="0" w:color="auto"/>
        <w:right w:val="none" w:sz="0" w:space="0" w:color="auto"/>
      </w:divBdr>
      <w:divsChild>
        <w:div w:id="67074577">
          <w:marLeft w:val="0"/>
          <w:marRight w:val="0"/>
          <w:marTop w:val="0"/>
          <w:marBottom w:val="0"/>
          <w:divBdr>
            <w:top w:val="none" w:sz="0" w:space="0" w:color="auto"/>
            <w:left w:val="none" w:sz="0" w:space="0" w:color="auto"/>
            <w:bottom w:val="none" w:sz="0" w:space="0" w:color="auto"/>
            <w:right w:val="none" w:sz="0" w:space="0" w:color="auto"/>
          </w:divBdr>
          <w:divsChild>
            <w:div w:id="1255356577">
              <w:marLeft w:val="0"/>
              <w:marRight w:val="0"/>
              <w:marTop w:val="0"/>
              <w:marBottom w:val="0"/>
              <w:divBdr>
                <w:top w:val="none" w:sz="0" w:space="0" w:color="auto"/>
                <w:left w:val="none" w:sz="0" w:space="0" w:color="auto"/>
                <w:bottom w:val="none" w:sz="0" w:space="0" w:color="auto"/>
                <w:right w:val="none" w:sz="0" w:space="0" w:color="auto"/>
              </w:divBdr>
              <w:divsChild>
                <w:div w:id="668363051">
                  <w:marLeft w:val="0"/>
                  <w:marRight w:val="0"/>
                  <w:marTop w:val="0"/>
                  <w:marBottom w:val="90"/>
                  <w:divBdr>
                    <w:top w:val="none" w:sz="0" w:space="0" w:color="auto"/>
                    <w:left w:val="none" w:sz="0" w:space="0" w:color="auto"/>
                    <w:bottom w:val="none" w:sz="0" w:space="0" w:color="auto"/>
                    <w:right w:val="none" w:sz="0" w:space="0" w:color="auto"/>
                  </w:divBdr>
                </w:div>
              </w:divsChild>
            </w:div>
            <w:div w:id="644703799">
              <w:marLeft w:val="0"/>
              <w:marRight w:val="0"/>
              <w:marTop w:val="0"/>
              <w:marBottom w:val="0"/>
              <w:divBdr>
                <w:top w:val="none" w:sz="0" w:space="0" w:color="auto"/>
                <w:left w:val="none" w:sz="0" w:space="0" w:color="auto"/>
                <w:bottom w:val="none" w:sz="0" w:space="0" w:color="auto"/>
                <w:right w:val="none" w:sz="0" w:space="0" w:color="auto"/>
              </w:divBdr>
              <w:divsChild>
                <w:div w:id="16863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20964">
          <w:marLeft w:val="0"/>
          <w:marRight w:val="0"/>
          <w:marTop w:val="0"/>
          <w:marBottom w:val="0"/>
          <w:divBdr>
            <w:top w:val="none" w:sz="0" w:space="0" w:color="auto"/>
            <w:left w:val="none" w:sz="0" w:space="0" w:color="auto"/>
            <w:bottom w:val="none" w:sz="0" w:space="0" w:color="auto"/>
            <w:right w:val="none" w:sz="0" w:space="0" w:color="auto"/>
          </w:divBdr>
          <w:divsChild>
            <w:div w:id="607856751">
              <w:marLeft w:val="0"/>
              <w:marRight w:val="0"/>
              <w:marTop w:val="0"/>
              <w:marBottom w:val="0"/>
              <w:divBdr>
                <w:top w:val="none" w:sz="0" w:space="0" w:color="auto"/>
                <w:left w:val="none" w:sz="0" w:space="0" w:color="auto"/>
                <w:bottom w:val="none" w:sz="0" w:space="0" w:color="auto"/>
                <w:right w:val="none" w:sz="0" w:space="0" w:color="auto"/>
              </w:divBdr>
              <w:divsChild>
                <w:div w:id="1163202845">
                  <w:marLeft w:val="0"/>
                  <w:marRight w:val="0"/>
                  <w:marTop w:val="0"/>
                  <w:marBottom w:val="0"/>
                  <w:divBdr>
                    <w:top w:val="none" w:sz="0" w:space="0" w:color="auto"/>
                    <w:left w:val="none" w:sz="0" w:space="0" w:color="auto"/>
                    <w:bottom w:val="none" w:sz="0" w:space="0" w:color="auto"/>
                    <w:right w:val="none" w:sz="0" w:space="0" w:color="auto"/>
                  </w:divBdr>
                  <w:divsChild>
                    <w:div w:id="49815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680931">
      <w:bodyDiv w:val="1"/>
      <w:marLeft w:val="0"/>
      <w:marRight w:val="0"/>
      <w:marTop w:val="0"/>
      <w:marBottom w:val="0"/>
      <w:divBdr>
        <w:top w:val="none" w:sz="0" w:space="0" w:color="auto"/>
        <w:left w:val="none" w:sz="0" w:space="0" w:color="auto"/>
        <w:bottom w:val="none" w:sz="0" w:space="0" w:color="auto"/>
        <w:right w:val="none" w:sz="0" w:space="0" w:color="auto"/>
      </w:divBdr>
      <w:divsChild>
        <w:div w:id="1332950298">
          <w:marLeft w:val="0"/>
          <w:marRight w:val="0"/>
          <w:marTop w:val="0"/>
          <w:marBottom w:val="0"/>
          <w:divBdr>
            <w:top w:val="none" w:sz="0" w:space="0" w:color="auto"/>
            <w:left w:val="none" w:sz="0" w:space="0" w:color="auto"/>
            <w:bottom w:val="none" w:sz="0" w:space="0" w:color="auto"/>
            <w:right w:val="none" w:sz="0" w:space="0" w:color="auto"/>
          </w:divBdr>
          <w:divsChild>
            <w:div w:id="1387487305">
              <w:marLeft w:val="0"/>
              <w:marRight w:val="0"/>
              <w:marTop w:val="0"/>
              <w:marBottom w:val="0"/>
              <w:divBdr>
                <w:top w:val="none" w:sz="0" w:space="0" w:color="auto"/>
                <w:left w:val="none" w:sz="0" w:space="0" w:color="auto"/>
                <w:bottom w:val="none" w:sz="0" w:space="0" w:color="auto"/>
                <w:right w:val="none" w:sz="0" w:space="0" w:color="auto"/>
              </w:divBdr>
              <w:divsChild>
                <w:div w:id="1424952380">
                  <w:marLeft w:val="0"/>
                  <w:marRight w:val="0"/>
                  <w:marTop w:val="0"/>
                  <w:marBottom w:val="90"/>
                  <w:divBdr>
                    <w:top w:val="none" w:sz="0" w:space="0" w:color="auto"/>
                    <w:left w:val="none" w:sz="0" w:space="0" w:color="auto"/>
                    <w:bottom w:val="none" w:sz="0" w:space="0" w:color="auto"/>
                    <w:right w:val="none" w:sz="0" w:space="0" w:color="auto"/>
                  </w:divBdr>
                </w:div>
              </w:divsChild>
            </w:div>
            <w:div w:id="1963340585">
              <w:marLeft w:val="0"/>
              <w:marRight w:val="0"/>
              <w:marTop w:val="0"/>
              <w:marBottom w:val="0"/>
              <w:divBdr>
                <w:top w:val="none" w:sz="0" w:space="0" w:color="auto"/>
                <w:left w:val="none" w:sz="0" w:space="0" w:color="auto"/>
                <w:bottom w:val="none" w:sz="0" w:space="0" w:color="auto"/>
                <w:right w:val="none" w:sz="0" w:space="0" w:color="auto"/>
              </w:divBdr>
              <w:divsChild>
                <w:div w:id="193658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9355">
          <w:marLeft w:val="0"/>
          <w:marRight w:val="0"/>
          <w:marTop w:val="0"/>
          <w:marBottom w:val="0"/>
          <w:divBdr>
            <w:top w:val="none" w:sz="0" w:space="0" w:color="auto"/>
            <w:left w:val="none" w:sz="0" w:space="0" w:color="auto"/>
            <w:bottom w:val="none" w:sz="0" w:space="0" w:color="auto"/>
            <w:right w:val="none" w:sz="0" w:space="0" w:color="auto"/>
          </w:divBdr>
          <w:divsChild>
            <w:div w:id="405151334">
              <w:marLeft w:val="0"/>
              <w:marRight w:val="0"/>
              <w:marTop w:val="0"/>
              <w:marBottom w:val="0"/>
              <w:divBdr>
                <w:top w:val="none" w:sz="0" w:space="0" w:color="auto"/>
                <w:left w:val="none" w:sz="0" w:space="0" w:color="auto"/>
                <w:bottom w:val="none" w:sz="0" w:space="0" w:color="auto"/>
                <w:right w:val="none" w:sz="0" w:space="0" w:color="auto"/>
              </w:divBdr>
              <w:divsChild>
                <w:div w:id="1425414273">
                  <w:marLeft w:val="0"/>
                  <w:marRight w:val="0"/>
                  <w:marTop w:val="0"/>
                  <w:marBottom w:val="0"/>
                  <w:divBdr>
                    <w:top w:val="none" w:sz="0" w:space="0" w:color="auto"/>
                    <w:left w:val="none" w:sz="0" w:space="0" w:color="auto"/>
                    <w:bottom w:val="none" w:sz="0" w:space="0" w:color="auto"/>
                    <w:right w:val="none" w:sz="0" w:space="0" w:color="auto"/>
                  </w:divBdr>
                  <w:divsChild>
                    <w:div w:id="7282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692</Words>
  <Characters>3949</Characters>
  <Application>Microsoft Office Word</Application>
  <DocSecurity>0</DocSecurity>
  <Lines>32</Lines>
  <Paragraphs>9</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 Ford</dc:creator>
  <cp:keywords/>
  <dc:description/>
  <cp:lastModifiedBy>Christin Ford</cp:lastModifiedBy>
  <cp:revision>1</cp:revision>
  <dcterms:created xsi:type="dcterms:W3CDTF">2020-07-27T03:36:00Z</dcterms:created>
  <dcterms:modified xsi:type="dcterms:W3CDTF">2020-07-27T03:41:00Z</dcterms:modified>
</cp:coreProperties>
</file>